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586F" w14:textId="77777777" w:rsidR="00940C27" w:rsidRPr="00FF531F" w:rsidRDefault="00737D26">
      <w:pPr>
        <w:rPr>
          <w:b/>
          <w:sz w:val="22"/>
          <w:szCs w:val="22"/>
        </w:rPr>
      </w:pPr>
      <w:r w:rsidRPr="00FF531F">
        <w:rPr>
          <w:b/>
          <w:sz w:val="22"/>
          <w:szCs w:val="22"/>
        </w:rPr>
        <w:t>Policy</w:t>
      </w:r>
    </w:p>
    <w:p w14:paraId="59FD9ECC" w14:textId="3EE5CC14" w:rsidR="00737D26" w:rsidRPr="00FF531F" w:rsidRDefault="00A10264" w:rsidP="00A1422F">
      <w:pPr>
        <w:pStyle w:val="NoSpacing"/>
        <w:jc w:val="both"/>
        <w:rPr>
          <w:sz w:val="22"/>
          <w:szCs w:val="22"/>
        </w:rPr>
      </w:pPr>
      <w:r w:rsidRPr="00FF531F">
        <w:rPr>
          <w:sz w:val="22"/>
          <w:szCs w:val="22"/>
        </w:rPr>
        <w:t xml:space="preserve">The intent of this </w:t>
      </w:r>
      <w:r w:rsidR="000C774E" w:rsidRPr="00FF531F">
        <w:rPr>
          <w:sz w:val="22"/>
          <w:szCs w:val="22"/>
        </w:rPr>
        <w:t>P</w:t>
      </w:r>
      <w:r w:rsidRPr="00FF531F">
        <w:rPr>
          <w:sz w:val="22"/>
          <w:szCs w:val="22"/>
        </w:rPr>
        <w:t>olicy is to communicate the Council’s pension funding objectives</w:t>
      </w:r>
      <w:r w:rsidR="00C3359A" w:rsidRPr="00FF531F">
        <w:rPr>
          <w:sz w:val="22"/>
          <w:szCs w:val="22"/>
        </w:rPr>
        <w:t xml:space="preserve"> </w:t>
      </w:r>
      <w:r w:rsidRPr="00FF531F">
        <w:rPr>
          <w:sz w:val="22"/>
          <w:szCs w:val="22"/>
        </w:rPr>
        <w:t xml:space="preserve">and to comply with </w:t>
      </w:r>
      <w:r w:rsidR="000C774E" w:rsidRPr="00FF531F">
        <w:rPr>
          <w:sz w:val="22"/>
          <w:szCs w:val="22"/>
        </w:rPr>
        <w:t xml:space="preserve">the </w:t>
      </w:r>
      <w:r w:rsidRPr="00FF531F">
        <w:rPr>
          <w:sz w:val="22"/>
          <w:szCs w:val="22"/>
        </w:rPr>
        <w:t>statutory requirements of Ariz. Rev. Stat. § 38-863.01, as amended</w:t>
      </w:r>
      <w:r w:rsidR="000E0252" w:rsidRPr="00FF531F">
        <w:rPr>
          <w:sz w:val="22"/>
          <w:szCs w:val="22"/>
        </w:rPr>
        <w:t xml:space="preserve">.  </w:t>
      </w:r>
      <w:r w:rsidR="00737D26" w:rsidRPr="00FF531F">
        <w:rPr>
          <w:sz w:val="22"/>
          <w:szCs w:val="22"/>
        </w:rPr>
        <w:t>It is the policy of the City of Buckeye</w:t>
      </w:r>
      <w:r w:rsidR="000C774E" w:rsidRPr="00FF531F">
        <w:rPr>
          <w:sz w:val="22"/>
          <w:szCs w:val="22"/>
        </w:rPr>
        <w:t xml:space="preserve"> (“City”) to maintain stability of the City’s contributions to the Public Safety Personnel Retirement System (“PSPRS” or “System”); to outline how and when the City’s funding requirements of the system will be met; and, to define the City’s funded ratio target under the System and the timeline for reaching the targeted funded ratio.</w:t>
      </w:r>
      <w:r w:rsidR="00737D26" w:rsidRPr="00FF531F">
        <w:rPr>
          <w:sz w:val="22"/>
          <w:szCs w:val="22"/>
        </w:rPr>
        <w:t xml:space="preserve"> </w:t>
      </w:r>
      <w:r w:rsidR="00196CED" w:rsidRPr="00FF531F">
        <w:rPr>
          <w:sz w:val="22"/>
          <w:szCs w:val="22"/>
        </w:rPr>
        <w:t>This Policy shall be updated annually.</w:t>
      </w:r>
    </w:p>
    <w:p w14:paraId="71C1D757" w14:textId="77777777" w:rsidR="00737D26" w:rsidRPr="00FF531F" w:rsidRDefault="00737D26" w:rsidP="00A1422F">
      <w:pPr>
        <w:pStyle w:val="NoSpacing"/>
        <w:jc w:val="both"/>
        <w:rPr>
          <w:sz w:val="22"/>
          <w:szCs w:val="22"/>
        </w:rPr>
      </w:pPr>
    </w:p>
    <w:p w14:paraId="346F1FA4" w14:textId="77777777" w:rsidR="00737D26" w:rsidRPr="00FF531F" w:rsidRDefault="00737D26" w:rsidP="00A1422F">
      <w:pPr>
        <w:pStyle w:val="NoSpacing"/>
        <w:jc w:val="both"/>
        <w:rPr>
          <w:b/>
          <w:sz w:val="22"/>
          <w:szCs w:val="22"/>
        </w:rPr>
      </w:pPr>
      <w:r w:rsidRPr="00FF531F">
        <w:rPr>
          <w:b/>
          <w:sz w:val="22"/>
          <w:szCs w:val="22"/>
        </w:rPr>
        <w:t xml:space="preserve">Purpose </w:t>
      </w:r>
    </w:p>
    <w:p w14:paraId="261D93F2" w14:textId="77777777" w:rsidR="00737D26" w:rsidRPr="00FF531F" w:rsidRDefault="00737D26" w:rsidP="00A1422F">
      <w:pPr>
        <w:pStyle w:val="NoSpacing"/>
        <w:jc w:val="both"/>
        <w:rPr>
          <w:sz w:val="22"/>
          <w:szCs w:val="22"/>
        </w:rPr>
      </w:pPr>
    </w:p>
    <w:p w14:paraId="57C17BB0" w14:textId="62E2D4BA" w:rsidR="00737D26" w:rsidRPr="00FF531F" w:rsidRDefault="00737D26" w:rsidP="00922307">
      <w:pPr>
        <w:pStyle w:val="NoSpacing"/>
        <w:ind w:left="720" w:right="720"/>
        <w:jc w:val="both"/>
        <w:rPr>
          <w:sz w:val="22"/>
          <w:szCs w:val="22"/>
        </w:rPr>
      </w:pPr>
      <w:r w:rsidRPr="00FF531F">
        <w:rPr>
          <w:sz w:val="22"/>
          <w:szCs w:val="22"/>
        </w:rPr>
        <w:t>The purpose of this Policy is to comply with A</w:t>
      </w:r>
      <w:r w:rsidR="00C3359A" w:rsidRPr="00FF531F">
        <w:rPr>
          <w:sz w:val="22"/>
          <w:szCs w:val="22"/>
        </w:rPr>
        <w:t>riz. Rev. Stat.</w:t>
      </w:r>
      <w:r w:rsidRPr="00FF531F">
        <w:rPr>
          <w:sz w:val="22"/>
          <w:szCs w:val="22"/>
        </w:rPr>
        <w:t xml:space="preserve"> </w:t>
      </w:r>
      <w:r w:rsidR="00450DA3" w:rsidRPr="00FF531F">
        <w:rPr>
          <w:sz w:val="22"/>
          <w:szCs w:val="22"/>
        </w:rPr>
        <w:t>§</w:t>
      </w:r>
      <w:r w:rsidR="00FE0FC9" w:rsidRPr="00FF531F">
        <w:rPr>
          <w:sz w:val="22"/>
          <w:szCs w:val="22"/>
        </w:rPr>
        <w:t xml:space="preserve"> </w:t>
      </w:r>
      <w:r w:rsidR="000033FE" w:rsidRPr="00FF531F">
        <w:rPr>
          <w:sz w:val="22"/>
          <w:szCs w:val="22"/>
        </w:rPr>
        <w:t>38-</w:t>
      </w:r>
      <w:r w:rsidR="00A10264" w:rsidRPr="00FF531F">
        <w:rPr>
          <w:sz w:val="22"/>
          <w:szCs w:val="22"/>
        </w:rPr>
        <w:t>863.0</w:t>
      </w:r>
      <w:r w:rsidR="000E0252" w:rsidRPr="00FF531F">
        <w:rPr>
          <w:sz w:val="22"/>
          <w:szCs w:val="22"/>
        </w:rPr>
        <w:t>1</w:t>
      </w:r>
      <w:r w:rsidR="00A10264" w:rsidRPr="00FF531F">
        <w:rPr>
          <w:sz w:val="22"/>
          <w:szCs w:val="22"/>
        </w:rPr>
        <w:t>, as amended</w:t>
      </w:r>
      <w:r w:rsidR="00FE0FC9" w:rsidRPr="00FF531F">
        <w:rPr>
          <w:sz w:val="22"/>
          <w:szCs w:val="22"/>
        </w:rPr>
        <w:t>,</w:t>
      </w:r>
      <w:r w:rsidRPr="00FF531F">
        <w:rPr>
          <w:sz w:val="22"/>
          <w:szCs w:val="22"/>
        </w:rPr>
        <w:t xml:space="preserve"> and set forth the steps in the annual budgeting process to meet objectives for funding the City of Buckeye Police and Fire Departments</w:t>
      </w:r>
      <w:r w:rsidR="000C774E" w:rsidRPr="00FF531F">
        <w:rPr>
          <w:sz w:val="22"/>
          <w:szCs w:val="22"/>
        </w:rPr>
        <w:t>’</w:t>
      </w:r>
      <w:r w:rsidRPr="00FF531F">
        <w:rPr>
          <w:sz w:val="22"/>
          <w:szCs w:val="22"/>
        </w:rPr>
        <w:t xml:space="preserve"> defined benefit plans </w:t>
      </w:r>
      <w:r w:rsidR="00A10264" w:rsidRPr="00FF531F">
        <w:rPr>
          <w:sz w:val="22"/>
          <w:szCs w:val="22"/>
        </w:rPr>
        <w:t>managed by the</w:t>
      </w:r>
      <w:r w:rsidRPr="00FF531F">
        <w:rPr>
          <w:sz w:val="22"/>
          <w:szCs w:val="22"/>
        </w:rPr>
        <w:t xml:space="preserve"> Arizona PSPRS for members who joined the system prior to July 1, 2017.  The objectives are to establish a timeline for reaching a targeted funding ratio, identify how the City plans to meet the timeline, and how the City will maintain stability of City contributions to fulfill that plan. </w:t>
      </w:r>
    </w:p>
    <w:p w14:paraId="34B2E16F" w14:textId="77777777" w:rsidR="00737D26" w:rsidRPr="00FF531F" w:rsidRDefault="00737D26" w:rsidP="00A1422F">
      <w:pPr>
        <w:pStyle w:val="NoSpacing"/>
        <w:jc w:val="both"/>
        <w:rPr>
          <w:sz w:val="22"/>
          <w:szCs w:val="22"/>
        </w:rPr>
      </w:pPr>
    </w:p>
    <w:p w14:paraId="4D7F38A3" w14:textId="5CB4A5F2" w:rsidR="00737D26" w:rsidRPr="00FF531F" w:rsidRDefault="00737D26" w:rsidP="00A1422F">
      <w:pPr>
        <w:pStyle w:val="NoSpacing"/>
        <w:jc w:val="both"/>
        <w:rPr>
          <w:sz w:val="22"/>
          <w:szCs w:val="22"/>
        </w:rPr>
      </w:pPr>
      <w:r w:rsidRPr="00FF531F">
        <w:rPr>
          <w:sz w:val="22"/>
          <w:szCs w:val="22"/>
        </w:rPr>
        <w:t xml:space="preserve">This Policy further complies with GASB Statement No. 67 (Financial Reporting for Pension Plans) and GASB Statement No. 68 (Accounting and Financial Reporting for Pensions) </w:t>
      </w:r>
      <w:proofErr w:type="gramStart"/>
      <w:r w:rsidRPr="00FF531F">
        <w:rPr>
          <w:sz w:val="22"/>
          <w:szCs w:val="22"/>
        </w:rPr>
        <w:t>in order to</w:t>
      </w:r>
      <w:proofErr w:type="gramEnd"/>
      <w:r w:rsidRPr="00FF531F">
        <w:rPr>
          <w:sz w:val="22"/>
          <w:szCs w:val="22"/>
        </w:rPr>
        <w:t xml:space="preserve"> more accurately reflect the assets and liabilities of the City’s plan balance for its members who joined PSPRS prior to July 1, 2017.  Under Senate Bill 1063, a new employer risk pool was formed for members hired on or after July 1, </w:t>
      </w:r>
      <w:r w:rsidR="00F5113C" w:rsidRPr="00FF531F">
        <w:rPr>
          <w:sz w:val="22"/>
          <w:szCs w:val="22"/>
        </w:rPr>
        <w:t>2017,</w:t>
      </w:r>
      <w:r w:rsidRPr="00FF531F">
        <w:rPr>
          <w:sz w:val="22"/>
          <w:szCs w:val="22"/>
        </w:rPr>
        <w:t xml:space="preserve"> </w:t>
      </w:r>
      <w:proofErr w:type="gramStart"/>
      <w:r w:rsidRPr="00FF531F">
        <w:rPr>
          <w:sz w:val="22"/>
          <w:szCs w:val="22"/>
        </w:rPr>
        <w:t>in an effort to</w:t>
      </w:r>
      <w:proofErr w:type="gramEnd"/>
      <w:r w:rsidRPr="00FF531F">
        <w:rPr>
          <w:sz w:val="22"/>
          <w:szCs w:val="22"/>
        </w:rPr>
        <w:t xml:space="preserve"> minimize the future unfunded liabilities of the current plan. </w:t>
      </w:r>
    </w:p>
    <w:p w14:paraId="24ACB2D6" w14:textId="77777777" w:rsidR="00737D26" w:rsidRPr="00FF531F" w:rsidRDefault="00737D26" w:rsidP="00A1422F">
      <w:pPr>
        <w:pStyle w:val="NoSpacing"/>
        <w:jc w:val="both"/>
        <w:rPr>
          <w:sz w:val="22"/>
          <w:szCs w:val="22"/>
        </w:rPr>
      </w:pPr>
    </w:p>
    <w:p w14:paraId="10558B9E" w14:textId="77777777" w:rsidR="00737D26" w:rsidRPr="00FF531F" w:rsidRDefault="00737D26" w:rsidP="00A1422F">
      <w:pPr>
        <w:pStyle w:val="NoSpacing"/>
        <w:jc w:val="both"/>
        <w:rPr>
          <w:b/>
          <w:sz w:val="22"/>
          <w:szCs w:val="22"/>
        </w:rPr>
      </w:pPr>
      <w:r w:rsidRPr="00FF531F">
        <w:rPr>
          <w:b/>
          <w:sz w:val="22"/>
          <w:szCs w:val="22"/>
        </w:rPr>
        <w:t>Goals</w:t>
      </w:r>
      <w:r w:rsidR="00A1422F" w:rsidRPr="00FF531F">
        <w:rPr>
          <w:b/>
          <w:sz w:val="22"/>
          <w:szCs w:val="22"/>
        </w:rPr>
        <w:t xml:space="preserve"> – Stability of Contributions</w:t>
      </w:r>
    </w:p>
    <w:p w14:paraId="3CD9F800" w14:textId="77777777" w:rsidR="00737D26" w:rsidRPr="00FF531F" w:rsidRDefault="00737D26" w:rsidP="00A1422F">
      <w:pPr>
        <w:pStyle w:val="NoSpacing"/>
        <w:jc w:val="both"/>
        <w:rPr>
          <w:sz w:val="22"/>
          <w:szCs w:val="22"/>
        </w:rPr>
      </w:pPr>
    </w:p>
    <w:p w14:paraId="110BFC68" w14:textId="77777777" w:rsidR="009941D7" w:rsidRPr="00FF531F" w:rsidRDefault="009941D7" w:rsidP="00A1422F">
      <w:pPr>
        <w:pStyle w:val="NoSpacing"/>
        <w:jc w:val="both"/>
        <w:rPr>
          <w:sz w:val="22"/>
          <w:szCs w:val="22"/>
          <w:u w:val="single"/>
        </w:rPr>
      </w:pPr>
      <w:r w:rsidRPr="00FF531F">
        <w:rPr>
          <w:sz w:val="22"/>
          <w:szCs w:val="22"/>
          <w:u w:val="single"/>
        </w:rPr>
        <w:t>Budgeting</w:t>
      </w:r>
    </w:p>
    <w:p w14:paraId="13DEE48C" w14:textId="77777777" w:rsidR="009941D7" w:rsidRPr="00FF531F" w:rsidRDefault="009941D7" w:rsidP="00A1422F">
      <w:pPr>
        <w:pStyle w:val="NoSpacing"/>
        <w:jc w:val="both"/>
        <w:rPr>
          <w:sz w:val="22"/>
          <w:szCs w:val="22"/>
        </w:rPr>
      </w:pPr>
    </w:p>
    <w:p w14:paraId="68F27C44" w14:textId="3307CE1F" w:rsidR="009941D7" w:rsidRPr="00FF531F" w:rsidRDefault="000C774E" w:rsidP="00A1422F">
      <w:pPr>
        <w:pStyle w:val="NoSpacing"/>
        <w:jc w:val="both"/>
        <w:rPr>
          <w:sz w:val="22"/>
          <w:szCs w:val="22"/>
        </w:rPr>
      </w:pPr>
      <w:r w:rsidRPr="00FF531F">
        <w:rPr>
          <w:sz w:val="22"/>
          <w:szCs w:val="22"/>
        </w:rPr>
        <w:t>The salaries of a</w:t>
      </w:r>
      <w:r w:rsidR="009941D7" w:rsidRPr="00FF531F">
        <w:rPr>
          <w:sz w:val="22"/>
          <w:szCs w:val="22"/>
        </w:rPr>
        <w:t xml:space="preserve">ll PSPRS </w:t>
      </w:r>
      <w:r w:rsidR="00CB0DF5" w:rsidRPr="00FF531F">
        <w:rPr>
          <w:sz w:val="22"/>
          <w:szCs w:val="22"/>
        </w:rPr>
        <w:t>member</w:t>
      </w:r>
      <w:r w:rsidRPr="00FF531F">
        <w:rPr>
          <w:sz w:val="22"/>
          <w:szCs w:val="22"/>
        </w:rPr>
        <w:t xml:space="preserve">s </w:t>
      </w:r>
      <w:r w:rsidR="009941D7" w:rsidRPr="00FF531F">
        <w:rPr>
          <w:sz w:val="22"/>
          <w:szCs w:val="22"/>
        </w:rPr>
        <w:t xml:space="preserve">will be utilized to calculate the annual budgeted contribution.  This will include: </w:t>
      </w:r>
    </w:p>
    <w:p w14:paraId="39961964" w14:textId="588CD1B1" w:rsidR="009941D7" w:rsidRPr="00FF531F" w:rsidRDefault="009941D7" w:rsidP="00A1422F">
      <w:pPr>
        <w:pStyle w:val="NoSpacing"/>
        <w:numPr>
          <w:ilvl w:val="0"/>
          <w:numId w:val="1"/>
        </w:numPr>
        <w:jc w:val="both"/>
        <w:rPr>
          <w:sz w:val="22"/>
          <w:szCs w:val="22"/>
        </w:rPr>
      </w:pPr>
      <w:r w:rsidRPr="00FF531F">
        <w:rPr>
          <w:sz w:val="22"/>
          <w:szCs w:val="22"/>
        </w:rPr>
        <w:t>Employer amounts for all defined</w:t>
      </w:r>
      <w:r w:rsidR="000C774E" w:rsidRPr="00FF531F">
        <w:rPr>
          <w:sz w:val="22"/>
          <w:szCs w:val="22"/>
        </w:rPr>
        <w:t>-</w:t>
      </w:r>
      <w:r w:rsidRPr="00FF531F">
        <w:rPr>
          <w:sz w:val="22"/>
          <w:szCs w:val="22"/>
        </w:rPr>
        <w:t>benefit PSPRS member employees</w:t>
      </w:r>
    </w:p>
    <w:p w14:paraId="4E58DF41" w14:textId="77777777" w:rsidR="009941D7" w:rsidRPr="00FF531F" w:rsidRDefault="009941D7" w:rsidP="00A1422F">
      <w:pPr>
        <w:pStyle w:val="NoSpacing"/>
        <w:numPr>
          <w:ilvl w:val="0"/>
          <w:numId w:val="1"/>
        </w:numPr>
        <w:jc w:val="both"/>
        <w:rPr>
          <w:sz w:val="22"/>
          <w:szCs w:val="22"/>
        </w:rPr>
      </w:pPr>
      <w:r w:rsidRPr="00FF531F">
        <w:rPr>
          <w:sz w:val="22"/>
          <w:szCs w:val="22"/>
        </w:rPr>
        <w:t xml:space="preserve">Employer amounts for all PSPRS employees enrolled in the Deferred Retirement Option Plan (DROP) </w:t>
      </w:r>
    </w:p>
    <w:p w14:paraId="427996DB" w14:textId="03235E43" w:rsidR="009941D7" w:rsidRPr="00FF531F" w:rsidRDefault="00CB37E6" w:rsidP="00B24A6D">
      <w:pPr>
        <w:pStyle w:val="NoSpacing"/>
        <w:numPr>
          <w:ilvl w:val="0"/>
          <w:numId w:val="2"/>
        </w:numPr>
        <w:jc w:val="both"/>
        <w:rPr>
          <w:sz w:val="22"/>
          <w:szCs w:val="22"/>
        </w:rPr>
      </w:pPr>
      <w:r w:rsidRPr="00FF531F">
        <w:rPr>
          <w:sz w:val="22"/>
          <w:szCs w:val="22"/>
        </w:rPr>
        <w:t>An annual lump sum contribution as determined during each fiscal year budget process</w:t>
      </w:r>
      <w:r w:rsidR="00FC6899" w:rsidRPr="00FF531F">
        <w:rPr>
          <w:sz w:val="22"/>
          <w:szCs w:val="22"/>
        </w:rPr>
        <w:t>,</w:t>
      </w:r>
      <w:r w:rsidR="00C753BD" w:rsidRPr="00FF531F">
        <w:rPr>
          <w:sz w:val="22"/>
          <w:szCs w:val="22"/>
        </w:rPr>
        <w:t xml:space="preserve"> when </w:t>
      </w:r>
      <w:r w:rsidR="00FC6899" w:rsidRPr="00FF531F">
        <w:rPr>
          <w:sz w:val="22"/>
          <w:szCs w:val="22"/>
        </w:rPr>
        <w:t>financially feasible</w:t>
      </w:r>
      <w:r w:rsidR="00CB0DF5" w:rsidRPr="00FF531F">
        <w:rPr>
          <w:sz w:val="22"/>
          <w:szCs w:val="22"/>
        </w:rPr>
        <w:t xml:space="preserve">. </w:t>
      </w:r>
    </w:p>
    <w:p w14:paraId="4D9D2C05" w14:textId="77777777" w:rsidR="00090DA0" w:rsidRPr="00FF531F" w:rsidRDefault="00090DA0" w:rsidP="00A1422F">
      <w:pPr>
        <w:pStyle w:val="NoSpacing"/>
        <w:jc w:val="both"/>
        <w:rPr>
          <w:sz w:val="22"/>
          <w:szCs w:val="22"/>
        </w:rPr>
      </w:pPr>
    </w:p>
    <w:p w14:paraId="4284D622" w14:textId="77777777" w:rsidR="009941D7" w:rsidRPr="00FF531F" w:rsidRDefault="009941D7" w:rsidP="00A1422F">
      <w:pPr>
        <w:pStyle w:val="NoSpacing"/>
        <w:jc w:val="both"/>
        <w:rPr>
          <w:sz w:val="22"/>
          <w:szCs w:val="22"/>
          <w:u w:val="single"/>
        </w:rPr>
      </w:pPr>
      <w:r w:rsidRPr="00FF531F">
        <w:rPr>
          <w:sz w:val="22"/>
          <w:szCs w:val="22"/>
          <w:u w:val="single"/>
        </w:rPr>
        <w:t>Remittance</w:t>
      </w:r>
    </w:p>
    <w:p w14:paraId="7D17B1B0" w14:textId="77777777" w:rsidR="009941D7" w:rsidRPr="00FF531F" w:rsidRDefault="009941D7" w:rsidP="00A1422F">
      <w:pPr>
        <w:pStyle w:val="NoSpacing"/>
        <w:jc w:val="both"/>
        <w:rPr>
          <w:sz w:val="22"/>
          <w:szCs w:val="22"/>
        </w:rPr>
      </w:pPr>
    </w:p>
    <w:p w14:paraId="110896E4" w14:textId="77777777" w:rsidR="009941D7" w:rsidRPr="00FF531F" w:rsidRDefault="00CB37E6" w:rsidP="00A1422F">
      <w:pPr>
        <w:pStyle w:val="NoSpacing"/>
        <w:jc w:val="both"/>
        <w:rPr>
          <w:sz w:val="22"/>
          <w:szCs w:val="22"/>
        </w:rPr>
      </w:pPr>
      <w:r w:rsidRPr="00FF531F">
        <w:rPr>
          <w:sz w:val="22"/>
          <w:szCs w:val="22"/>
        </w:rPr>
        <w:t>T</w:t>
      </w:r>
      <w:r w:rsidR="009941D7" w:rsidRPr="00FF531F">
        <w:rPr>
          <w:sz w:val="22"/>
          <w:szCs w:val="22"/>
        </w:rPr>
        <w:t>he current fiscal year’s general fund budgeted PSPRS contributions (as outlined above) will be</w:t>
      </w:r>
      <w:r w:rsidR="0039661D" w:rsidRPr="00FF531F">
        <w:rPr>
          <w:sz w:val="22"/>
          <w:szCs w:val="22"/>
        </w:rPr>
        <w:t xml:space="preserve"> divided into two equal payments. One payment will be deposited with PSPRS in July, the other in January</w:t>
      </w:r>
      <w:r w:rsidR="009941D7" w:rsidRPr="00FF531F">
        <w:rPr>
          <w:sz w:val="22"/>
          <w:szCs w:val="22"/>
        </w:rPr>
        <w:t xml:space="preserve"> </w:t>
      </w:r>
      <w:proofErr w:type="gramStart"/>
      <w:r w:rsidR="009941D7" w:rsidRPr="00FF531F">
        <w:rPr>
          <w:sz w:val="22"/>
          <w:szCs w:val="22"/>
        </w:rPr>
        <w:t>in order to</w:t>
      </w:r>
      <w:proofErr w:type="gramEnd"/>
      <w:r w:rsidR="009941D7" w:rsidRPr="00FF531F">
        <w:rPr>
          <w:sz w:val="22"/>
          <w:szCs w:val="22"/>
        </w:rPr>
        <w:t xml:space="preserve"> accrue interest.  Required employer payroll contributions during the year will be drawn against the deposit.  Following the final draw for the fiscal year, the remaining balance (if any) will be allocated to the City’s PSPRS unfunded liability. </w:t>
      </w:r>
    </w:p>
    <w:p w14:paraId="11915650" w14:textId="77777777" w:rsidR="009941D7" w:rsidRPr="00FF531F" w:rsidRDefault="009941D7" w:rsidP="00A1422F">
      <w:pPr>
        <w:pStyle w:val="NoSpacing"/>
        <w:jc w:val="both"/>
        <w:rPr>
          <w:sz w:val="22"/>
          <w:szCs w:val="22"/>
        </w:rPr>
      </w:pPr>
    </w:p>
    <w:p w14:paraId="0FA8F85B" w14:textId="77777777" w:rsidR="009941D7" w:rsidRPr="00FF531F" w:rsidRDefault="009941D7" w:rsidP="00A1422F">
      <w:pPr>
        <w:pStyle w:val="NoSpacing"/>
        <w:jc w:val="both"/>
        <w:rPr>
          <w:sz w:val="22"/>
          <w:szCs w:val="22"/>
        </w:rPr>
      </w:pPr>
      <w:r w:rsidRPr="00FF531F">
        <w:rPr>
          <w:sz w:val="22"/>
          <w:szCs w:val="22"/>
        </w:rPr>
        <w:t>A</w:t>
      </w:r>
      <w:r w:rsidR="001F0462" w:rsidRPr="00FF531F">
        <w:rPr>
          <w:sz w:val="22"/>
          <w:szCs w:val="22"/>
        </w:rPr>
        <w:t xml:space="preserve">t the close of each fiscal year, </w:t>
      </w:r>
      <w:r w:rsidRPr="00FF531F">
        <w:rPr>
          <w:sz w:val="22"/>
          <w:szCs w:val="22"/>
        </w:rPr>
        <w:t xml:space="preserve">any remaining general fund personnel and operating budget of the Police and Fire Departments will be paid directly to PSPRS </w:t>
      </w:r>
      <w:proofErr w:type="gramStart"/>
      <w:r w:rsidRPr="00FF531F">
        <w:rPr>
          <w:sz w:val="22"/>
          <w:szCs w:val="22"/>
        </w:rPr>
        <w:t>in order to</w:t>
      </w:r>
      <w:proofErr w:type="gramEnd"/>
      <w:r w:rsidRPr="00FF531F">
        <w:rPr>
          <w:sz w:val="22"/>
          <w:szCs w:val="22"/>
        </w:rPr>
        <w:t xml:space="preserve"> reduce the City’s unfunded liability.</w:t>
      </w:r>
    </w:p>
    <w:p w14:paraId="604C84DC" w14:textId="77777777" w:rsidR="007F6F64" w:rsidRPr="00FF531F" w:rsidRDefault="007F6F64" w:rsidP="00A1422F">
      <w:pPr>
        <w:pStyle w:val="NoSpacing"/>
        <w:jc w:val="both"/>
        <w:rPr>
          <w:sz w:val="22"/>
          <w:szCs w:val="22"/>
        </w:rPr>
      </w:pPr>
    </w:p>
    <w:p w14:paraId="7E996080" w14:textId="70DFCC47" w:rsidR="00922307" w:rsidRPr="00FF531F" w:rsidRDefault="00922307" w:rsidP="00A1422F">
      <w:pPr>
        <w:pStyle w:val="NoSpacing"/>
        <w:jc w:val="both"/>
        <w:rPr>
          <w:sz w:val="22"/>
          <w:szCs w:val="22"/>
        </w:rPr>
      </w:pPr>
      <w:r w:rsidRPr="00FF531F">
        <w:rPr>
          <w:sz w:val="22"/>
          <w:szCs w:val="22"/>
        </w:rPr>
        <w:t>To further reduce our unfunded liability, the City will make a one-time lump sum payment in the amount of $500,000 to the Police PSPRS in July 2024.</w:t>
      </w:r>
    </w:p>
    <w:p w14:paraId="62A0BEDB" w14:textId="77777777" w:rsidR="009941D7" w:rsidRPr="00FF531F" w:rsidRDefault="009941D7" w:rsidP="00A1422F">
      <w:pPr>
        <w:pStyle w:val="NoSpacing"/>
        <w:jc w:val="both"/>
        <w:rPr>
          <w:sz w:val="22"/>
          <w:szCs w:val="22"/>
        </w:rPr>
      </w:pPr>
    </w:p>
    <w:p w14:paraId="4BC6C8C6" w14:textId="77777777" w:rsidR="009941D7" w:rsidRPr="00FF531F" w:rsidRDefault="009941D7" w:rsidP="00A1422F">
      <w:pPr>
        <w:pStyle w:val="NoSpacing"/>
        <w:jc w:val="both"/>
        <w:rPr>
          <w:sz w:val="22"/>
          <w:szCs w:val="22"/>
          <w:u w:val="single"/>
        </w:rPr>
      </w:pPr>
      <w:r w:rsidRPr="00FF531F">
        <w:rPr>
          <w:sz w:val="22"/>
          <w:szCs w:val="22"/>
          <w:u w:val="single"/>
        </w:rPr>
        <w:t>Funding Requirements</w:t>
      </w:r>
    </w:p>
    <w:p w14:paraId="24113F61" w14:textId="77777777" w:rsidR="009941D7" w:rsidRPr="00FF531F" w:rsidRDefault="009941D7" w:rsidP="00A1422F">
      <w:pPr>
        <w:pStyle w:val="NoSpacing"/>
        <w:jc w:val="both"/>
        <w:rPr>
          <w:sz w:val="22"/>
          <w:szCs w:val="22"/>
        </w:rPr>
      </w:pPr>
    </w:p>
    <w:p w14:paraId="44B931D9" w14:textId="2750D37A" w:rsidR="00450DA3" w:rsidRPr="00FF531F" w:rsidRDefault="009941D7" w:rsidP="00A1422F">
      <w:pPr>
        <w:pStyle w:val="NoSpacing"/>
        <w:jc w:val="both"/>
        <w:rPr>
          <w:sz w:val="22"/>
          <w:szCs w:val="22"/>
        </w:rPr>
      </w:pPr>
      <w:r w:rsidRPr="00FF531F">
        <w:rPr>
          <w:sz w:val="22"/>
          <w:szCs w:val="22"/>
        </w:rPr>
        <w:t>The PSP</w:t>
      </w:r>
      <w:r w:rsidR="0062307A" w:rsidRPr="00FF531F">
        <w:rPr>
          <w:sz w:val="22"/>
          <w:szCs w:val="22"/>
        </w:rPr>
        <w:t>RS Actuarial Valu</w:t>
      </w:r>
      <w:r w:rsidR="002C3C86" w:rsidRPr="00FF531F">
        <w:rPr>
          <w:sz w:val="22"/>
          <w:szCs w:val="22"/>
        </w:rPr>
        <w:t xml:space="preserve">ation Report dated June 30, </w:t>
      </w:r>
      <w:r w:rsidR="00CB0DF5" w:rsidRPr="00FF531F">
        <w:rPr>
          <w:sz w:val="22"/>
          <w:szCs w:val="22"/>
        </w:rPr>
        <w:t>202</w:t>
      </w:r>
      <w:r w:rsidR="00922307" w:rsidRPr="00FF531F">
        <w:rPr>
          <w:sz w:val="22"/>
          <w:szCs w:val="22"/>
        </w:rPr>
        <w:t>3</w:t>
      </w:r>
      <w:r w:rsidR="00CB0DF5" w:rsidRPr="00FF531F">
        <w:rPr>
          <w:sz w:val="22"/>
          <w:szCs w:val="22"/>
        </w:rPr>
        <w:t>,</w:t>
      </w:r>
      <w:r w:rsidR="0062307A" w:rsidRPr="00FF531F">
        <w:rPr>
          <w:sz w:val="22"/>
          <w:szCs w:val="22"/>
        </w:rPr>
        <w:t xml:space="preserve"> identifies an unfunded liability </w:t>
      </w:r>
      <w:r w:rsidR="00450DA3" w:rsidRPr="00FF531F">
        <w:rPr>
          <w:sz w:val="22"/>
          <w:szCs w:val="22"/>
        </w:rPr>
        <w:t>of:</w:t>
      </w:r>
    </w:p>
    <w:p w14:paraId="0FBA21DC" w14:textId="77777777" w:rsidR="00FE0FC9" w:rsidRPr="00FF531F" w:rsidRDefault="00FE0FC9" w:rsidP="00A1422F">
      <w:pPr>
        <w:pStyle w:val="NoSpacing"/>
        <w:jc w:val="both"/>
        <w:rPr>
          <w:sz w:val="22"/>
          <w:szCs w:val="22"/>
        </w:rPr>
      </w:pPr>
    </w:p>
    <w:p w14:paraId="72B1A818" w14:textId="50684620" w:rsidR="00450DA3" w:rsidRPr="00FF531F" w:rsidRDefault="00450DA3" w:rsidP="00450DA3">
      <w:pPr>
        <w:pStyle w:val="NoSpacing"/>
        <w:ind w:firstLine="720"/>
        <w:jc w:val="both"/>
        <w:rPr>
          <w:sz w:val="22"/>
          <w:szCs w:val="22"/>
        </w:rPr>
      </w:pPr>
      <w:r w:rsidRPr="00FF531F">
        <w:rPr>
          <w:sz w:val="22"/>
          <w:szCs w:val="22"/>
        </w:rPr>
        <w:t>P</w:t>
      </w:r>
      <w:r w:rsidR="00A1422F" w:rsidRPr="00FF531F">
        <w:rPr>
          <w:sz w:val="22"/>
          <w:szCs w:val="22"/>
        </w:rPr>
        <w:t>olice department</w:t>
      </w:r>
      <w:r w:rsidR="0062307A" w:rsidRPr="00FF531F">
        <w:rPr>
          <w:sz w:val="22"/>
          <w:szCs w:val="22"/>
        </w:rPr>
        <w:t xml:space="preserve"> </w:t>
      </w:r>
      <w:r w:rsidRPr="00FF531F">
        <w:rPr>
          <w:sz w:val="22"/>
          <w:szCs w:val="22"/>
        </w:rPr>
        <w:tab/>
      </w:r>
      <w:r w:rsidR="00FF531F">
        <w:rPr>
          <w:sz w:val="22"/>
          <w:szCs w:val="22"/>
        </w:rPr>
        <w:tab/>
      </w:r>
      <w:r w:rsidR="001F4917" w:rsidRPr="00FF531F">
        <w:rPr>
          <w:sz w:val="22"/>
          <w:szCs w:val="22"/>
        </w:rPr>
        <w:t>$</w:t>
      </w:r>
      <w:r w:rsidR="00FC6899" w:rsidRPr="00FF531F">
        <w:rPr>
          <w:sz w:val="22"/>
          <w:szCs w:val="22"/>
        </w:rPr>
        <w:t>14,</w:t>
      </w:r>
      <w:r w:rsidR="00922307" w:rsidRPr="00FF531F">
        <w:rPr>
          <w:sz w:val="22"/>
          <w:szCs w:val="22"/>
        </w:rPr>
        <w:t>805,508</w:t>
      </w:r>
    </w:p>
    <w:p w14:paraId="248AA33F" w14:textId="00ED723D" w:rsidR="00450DA3" w:rsidRPr="00FF531F" w:rsidRDefault="00450DA3" w:rsidP="00450DA3">
      <w:pPr>
        <w:pStyle w:val="NoSpacing"/>
        <w:ind w:firstLine="720"/>
        <w:jc w:val="both"/>
        <w:rPr>
          <w:sz w:val="22"/>
          <w:szCs w:val="22"/>
        </w:rPr>
      </w:pPr>
      <w:r w:rsidRPr="00FF531F">
        <w:rPr>
          <w:sz w:val="22"/>
          <w:szCs w:val="22"/>
        </w:rPr>
        <w:t xml:space="preserve">Fire department </w:t>
      </w:r>
      <w:r w:rsidR="00D61D65" w:rsidRPr="00FF531F">
        <w:rPr>
          <w:sz w:val="22"/>
          <w:szCs w:val="22"/>
        </w:rPr>
        <w:tab/>
      </w:r>
      <w:r w:rsidRPr="00FF531F">
        <w:rPr>
          <w:sz w:val="22"/>
          <w:szCs w:val="22"/>
        </w:rPr>
        <w:t xml:space="preserve"> </w:t>
      </w:r>
      <w:r w:rsidRPr="00FF531F">
        <w:rPr>
          <w:sz w:val="22"/>
          <w:szCs w:val="22"/>
        </w:rPr>
        <w:tab/>
      </w:r>
      <w:proofErr w:type="gramStart"/>
      <w:r w:rsidR="00A1422F" w:rsidRPr="00FF531F">
        <w:rPr>
          <w:sz w:val="22"/>
          <w:szCs w:val="22"/>
          <w:u w:val="single"/>
        </w:rPr>
        <w:t>$</w:t>
      </w:r>
      <w:r w:rsidR="00FC6899" w:rsidRPr="00FF531F">
        <w:rPr>
          <w:sz w:val="22"/>
          <w:szCs w:val="22"/>
          <w:u w:val="single"/>
        </w:rPr>
        <w:t xml:space="preserve">  </w:t>
      </w:r>
      <w:r w:rsidR="00922307" w:rsidRPr="00FF531F">
        <w:rPr>
          <w:sz w:val="22"/>
          <w:szCs w:val="22"/>
          <w:u w:val="single"/>
        </w:rPr>
        <w:t>5,896,458</w:t>
      </w:r>
      <w:proofErr w:type="gramEnd"/>
      <w:r w:rsidR="00A1422F" w:rsidRPr="00FF531F">
        <w:rPr>
          <w:sz w:val="22"/>
          <w:szCs w:val="22"/>
        </w:rPr>
        <w:t xml:space="preserve"> </w:t>
      </w:r>
    </w:p>
    <w:p w14:paraId="75A56B8B" w14:textId="30443487" w:rsidR="007F6F64" w:rsidRPr="00FF531F" w:rsidRDefault="00450DA3" w:rsidP="00450DA3">
      <w:pPr>
        <w:pStyle w:val="NoSpacing"/>
        <w:ind w:firstLine="720"/>
        <w:jc w:val="both"/>
        <w:rPr>
          <w:sz w:val="22"/>
          <w:szCs w:val="22"/>
        </w:rPr>
      </w:pPr>
      <w:r w:rsidRPr="00FF531F">
        <w:rPr>
          <w:sz w:val="22"/>
          <w:szCs w:val="22"/>
        </w:rPr>
        <w:t>T</w:t>
      </w:r>
      <w:r w:rsidR="00A1422F" w:rsidRPr="00FF531F">
        <w:rPr>
          <w:sz w:val="22"/>
          <w:szCs w:val="22"/>
        </w:rPr>
        <w:t xml:space="preserve">otal unfunded </w:t>
      </w:r>
      <w:r w:rsidR="00997EC1" w:rsidRPr="00FF531F">
        <w:rPr>
          <w:sz w:val="22"/>
          <w:szCs w:val="22"/>
        </w:rPr>
        <w:t>liability</w:t>
      </w:r>
      <w:r w:rsidR="00997EC1" w:rsidRPr="00FF531F">
        <w:rPr>
          <w:sz w:val="22"/>
          <w:szCs w:val="22"/>
        </w:rPr>
        <w:tab/>
        <w:t>$</w:t>
      </w:r>
      <w:r w:rsidR="00922307" w:rsidRPr="00FF531F">
        <w:rPr>
          <w:sz w:val="22"/>
          <w:szCs w:val="22"/>
        </w:rPr>
        <w:t>20,701,966</w:t>
      </w:r>
      <w:r w:rsidR="00FC6899" w:rsidRPr="00FF531F">
        <w:rPr>
          <w:sz w:val="22"/>
          <w:szCs w:val="22"/>
        </w:rPr>
        <w:t xml:space="preserve"> </w:t>
      </w:r>
    </w:p>
    <w:p w14:paraId="4FE94A6D" w14:textId="18AEBC33" w:rsidR="00D61D65" w:rsidRPr="00FF531F" w:rsidRDefault="00A1422F" w:rsidP="00CB0DF5">
      <w:pPr>
        <w:pStyle w:val="NoSpacing"/>
        <w:ind w:firstLine="720"/>
        <w:jc w:val="both"/>
        <w:rPr>
          <w:sz w:val="22"/>
          <w:szCs w:val="22"/>
        </w:rPr>
      </w:pPr>
      <w:r w:rsidRPr="00FF531F">
        <w:rPr>
          <w:sz w:val="22"/>
          <w:szCs w:val="22"/>
        </w:rPr>
        <w:t xml:space="preserve"> </w:t>
      </w:r>
    </w:p>
    <w:p w14:paraId="43D917F5" w14:textId="77777777" w:rsidR="009941D7" w:rsidRPr="00FF531F" w:rsidRDefault="0062307A" w:rsidP="00450DA3">
      <w:pPr>
        <w:pStyle w:val="NoSpacing"/>
        <w:jc w:val="both"/>
        <w:rPr>
          <w:sz w:val="22"/>
          <w:szCs w:val="22"/>
        </w:rPr>
      </w:pPr>
      <w:r w:rsidRPr="00FF531F">
        <w:rPr>
          <w:sz w:val="22"/>
          <w:szCs w:val="22"/>
        </w:rPr>
        <w:t xml:space="preserve">In accordance with this Policy, it is the plan and objective of the City to fully satisfy this unfunded liability by </w:t>
      </w:r>
      <w:r w:rsidR="00A1422F" w:rsidRPr="00FF531F">
        <w:rPr>
          <w:sz w:val="22"/>
          <w:szCs w:val="22"/>
        </w:rPr>
        <w:t>July 1, 2036</w:t>
      </w:r>
      <w:r w:rsidRPr="00FF531F">
        <w:rPr>
          <w:sz w:val="22"/>
          <w:szCs w:val="22"/>
        </w:rPr>
        <w:t>.</w:t>
      </w:r>
    </w:p>
    <w:p w14:paraId="7A78DC1B" w14:textId="77777777" w:rsidR="0062307A" w:rsidRPr="00FF531F" w:rsidRDefault="0062307A" w:rsidP="00A1422F">
      <w:pPr>
        <w:pStyle w:val="NoSpacing"/>
        <w:jc w:val="both"/>
        <w:rPr>
          <w:sz w:val="22"/>
          <w:szCs w:val="22"/>
        </w:rPr>
      </w:pPr>
    </w:p>
    <w:p w14:paraId="09A0EA4D" w14:textId="77777777" w:rsidR="0062307A" w:rsidRPr="00FF531F" w:rsidRDefault="0062307A" w:rsidP="00A1422F">
      <w:pPr>
        <w:pStyle w:val="NoSpacing"/>
        <w:jc w:val="both"/>
        <w:rPr>
          <w:sz w:val="22"/>
          <w:szCs w:val="22"/>
          <w:u w:val="single"/>
        </w:rPr>
      </w:pPr>
      <w:r w:rsidRPr="00FF531F">
        <w:rPr>
          <w:sz w:val="22"/>
          <w:szCs w:val="22"/>
          <w:u w:val="single"/>
        </w:rPr>
        <w:t xml:space="preserve">Funded </w:t>
      </w:r>
      <w:r w:rsidR="00090DA0" w:rsidRPr="00FF531F">
        <w:rPr>
          <w:sz w:val="22"/>
          <w:szCs w:val="22"/>
          <w:u w:val="single"/>
        </w:rPr>
        <w:t>Ratio</w:t>
      </w:r>
      <w:r w:rsidRPr="00FF531F">
        <w:rPr>
          <w:sz w:val="22"/>
          <w:szCs w:val="22"/>
          <w:u w:val="single"/>
        </w:rPr>
        <w:t xml:space="preserve"> Target</w:t>
      </w:r>
    </w:p>
    <w:p w14:paraId="7D49546D" w14:textId="77777777" w:rsidR="0062307A" w:rsidRPr="00FF531F" w:rsidRDefault="0062307A" w:rsidP="00A1422F">
      <w:pPr>
        <w:pStyle w:val="NoSpacing"/>
        <w:jc w:val="both"/>
        <w:rPr>
          <w:sz w:val="22"/>
          <w:szCs w:val="22"/>
        </w:rPr>
      </w:pPr>
    </w:p>
    <w:p w14:paraId="0138CC3E" w14:textId="77777777" w:rsidR="0062307A" w:rsidRPr="00FF531F" w:rsidRDefault="0062307A" w:rsidP="00A1422F">
      <w:pPr>
        <w:pStyle w:val="NoSpacing"/>
        <w:jc w:val="both"/>
        <w:rPr>
          <w:sz w:val="22"/>
          <w:szCs w:val="22"/>
        </w:rPr>
      </w:pPr>
      <w:r w:rsidRPr="00FF531F">
        <w:rPr>
          <w:sz w:val="22"/>
          <w:szCs w:val="22"/>
        </w:rPr>
        <w:t xml:space="preserve">The city’s targeted funded </w:t>
      </w:r>
      <w:r w:rsidR="00283C0C" w:rsidRPr="00FF531F">
        <w:rPr>
          <w:sz w:val="22"/>
          <w:szCs w:val="22"/>
        </w:rPr>
        <w:t>r</w:t>
      </w:r>
      <w:r w:rsidR="00090DA0" w:rsidRPr="00FF531F">
        <w:rPr>
          <w:sz w:val="22"/>
          <w:szCs w:val="22"/>
        </w:rPr>
        <w:t>atio</w:t>
      </w:r>
      <w:r w:rsidRPr="00FF531F">
        <w:rPr>
          <w:sz w:val="22"/>
          <w:szCs w:val="22"/>
        </w:rPr>
        <w:t xml:space="preserve"> is 100%.  At a funded status of 100% the plan is considered fully </w:t>
      </w:r>
      <w:proofErr w:type="gramStart"/>
      <w:r w:rsidRPr="00FF531F">
        <w:rPr>
          <w:sz w:val="22"/>
          <w:szCs w:val="22"/>
        </w:rPr>
        <w:t>funded</w:t>
      </w:r>
      <w:proofErr w:type="gramEnd"/>
      <w:r w:rsidRPr="00FF531F">
        <w:rPr>
          <w:sz w:val="22"/>
          <w:szCs w:val="22"/>
        </w:rPr>
        <w:t xml:space="preserve"> and the assets equal the liabilities of the plan (meaning the current taxpayers and members have paid their fair </w:t>
      </w:r>
      <w:r w:rsidR="00A1422F" w:rsidRPr="00FF531F">
        <w:rPr>
          <w:sz w:val="22"/>
          <w:szCs w:val="22"/>
        </w:rPr>
        <w:t>share</w:t>
      </w:r>
      <w:r w:rsidRPr="00FF531F">
        <w:rPr>
          <w:sz w:val="22"/>
          <w:szCs w:val="22"/>
        </w:rPr>
        <w:t xml:space="preserve"> of the costs of the plan). </w:t>
      </w:r>
    </w:p>
    <w:p w14:paraId="7B0016B3" w14:textId="77777777" w:rsidR="0062307A" w:rsidRPr="00FF531F" w:rsidRDefault="0062307A" w:rsidP="00A1422F">
      <w:pPr>
        <w:pStyle w:val="NoSpacing"/>
        <w:jc w:val="both"/>
        <w:rPr>
          <w:sz w:val="22"/>
          <w:szCs w:val="22"/>
        </w:rPr>
      </w:pPr>
    </w:p>
    <w:p w14:paraId="4D73C95D" w14:textId="18B8E0CC" w:rsidR="00E91CDF" w:rsidRPr="00FF531F" w:rsidRDefault="0062307A" w:rsidP="00A1422F">
      <w:pPr>
        <w:pStyle w:val="NoSpacing"/>
        <w:jc w:val="both"/>
        <w:rPr>
          <w:sz w:val="22"/>
          <w:szCs w:val="22"/>
        </w:rPr>
      </w:pPr>
      <w:r w:rsidRPr="00FF531F">
        <w:rPr>
          <w:sz w:val="22"/>
          <w:szCs w:val="22"/>
        </w:rPr>
        <w:t xml:space="preserve">The funded </w:t>
      </w:r>
      <w:r w:rsidR="00283C0C" w:rsidRPr="00FF531F">
        <w:rPr>
          <w:sz w:val="22"/>
          <w:szCs w:val="22"/>
        </w:rPr>
        <w:t>r</w:t>
      </w:r>
      <w:r w:rsidR="00090DA0" w:rsidRPr="00FF531F">
        <w:rPr>
          <w:sz w:val="22"/>
          <w:szCs w:val="22"/>
        </w:rPr>
        <w:t>atio</w:t>
      </w:r>
      <w:r w:rsidR="00113D12" w:rsidRPr="00FF531F">
        <w:rPr>
          <w:sz w:val="22"/>
          <w:szCs w:val="22"/>
        </w:rPr>
        <w:t xml:space="preserve"> for the 202</w:t>
      </w:r>
      <w:r w:rsidR="00922307" w:rsidRPr="00FF531F">
        <w:rPr>
          <w:sz w:val="22"/>
          <w:szCs w:val="22"/>
        </w:rPr>
        <w:t>3</w:t>
      </w:r>
      <w:r w:rsidRPr="00FF531F">
        <w:rPr>
          <w:sz w:val="22"/>
          <w:szCs w:val="22"/>
        </w:rPr>
        <w:t xml:space="preserve"> Actuarial Valuation Report is </w:t>
      </w:r>
      <w:r w:rsidR="00072B9B" w:rsidRPr="00FF531F">
        <w:rPr>
          <w:sz w:val="22"/>
          <w:szCs w:val="22"/>
        </w:rPr>
        <w:t>7</w:t>
      </w:r>
      <w:r w:rsidR="00922307" w:rsidRPr="00FF531F">
        <w:rPr>
          <w:sz w:val="22"/>
          <w:szCs w:val="22"/>
        </w:rPr>
        <w:t xml:space="preserve">4.3 </w:t>
      </w:r>
      <w:r w:rsidR="00113D12" w:rsidRPr="00FF531F">
        <w:rPr>
          <w:sz w:val="22"/>
          <w:szCs w:val="22"/>
        </w:rPr>
        <w:t>% for Police (202</w:t>
      </w:r>
      <w:r w:rsidR="00922307" w:rsidRPr="00FF531F">
        <w:rPr>
          <w:sz w:val="22"/>
          <w:szCs w:val="22"/>
        </w:rPr>
        <w:t>2</w:t>
      </w:r>
      <w:r w:rsidR="00113D12" w:rsidRPr="00FF531F">
        <w:rPr>
          <w:sz w:val="22"/>
          <w:szCs w:val="22"/>
        </w:rPr>
        <w:t xml:space="preserve"> funded ratio was </w:t>
      </w:r>
      <w:r w:rsidR="00922307" w:rsidRPr="00FF531F">
        <w:rPr>
          <w:sz w:val="22"/>
          <w:szCs w:val="22"/>
        </w:rPr>
        <w:t>71.9</w:t>
      </w:r>
      <w:r w:rsidR="00367FBA" w:rsidRPr="00FF531F">
        <w:rPr>
          <w:sz w:val="22"/>
          <w:szCs w:val="22"/>
        </w:rPr>
        <w:t xml:space="preserve">%) </w:t>
      </w:r>
      <w:r w:rsidR="00CB0DF5" w:rsidRPr="00FF531F">
        <w:rPr>
          <w:sz w:val="22"/>
          <w:szCs w:val="22"/>
        </w:rPr>
        <w:t xml:space="preserve">and </w:t>
      </w:r>
      <w:r w:rsidR="00922307" w:rsidRPr="00FF531F">
        <w:rPr>
          <w:sz w:val="22"/>
          <w:szCs w:val="22"/>
        </w:rPr>
        <w:t>90.0</w:t>
      </w:r>
      <w:r w:rsidR="00E91CDF" w:rsidRPr="00FF531F">
        <w:rPr>
          <w:sz w:val="22"/>
          <w:szCs w:val="22"/>
        </w:rPr>
        <w:t xml:space="preserve">% </w:t>
      </w:r>
      <w:r w:rsidR="003E4158" w:rsidRPr="00FF531F">
        <w:rPr>
          <w:sz w:val="22"/>
          <w:szCs w:val="22"/>
        </w:rPr>
        <w:t>for Fire</w:t>
      </w:r>
      <w:r w:rsidR="00113D12" w:rsidRPr="00FF531F">
        <w:rPr>
          <w:sz w:val="22"/>
          <w:szCs w:val="22"/>
        </w:rPr>
        <w:t xml:space="preserve"> (202</w:t>
      </w:r>
      <w:r w:rsidR="00922307" w:rsidRPr="00FF531F">
        <w:rPr>
          <w:sz w:val="22"/>
          <w:szCs w:val="22"/>
        </w:rPr>
        <w:t>2</w:t>
      </w:r>
      <w:r w:rsidR="00113D12" w:rsidRPr="00FF531F">
        <w:rPr>
          <w:sz w:val="22"/>
          <w:szCs w:val="22"/>
        </w:rPr>
        <w:t xml:space="preserve"> funded ratio was </w:t>
      </w:r>
      <w:r w:rsidR="00922307" w:rsidRPr="00FF531F">
        <w:rPr>
          <w:sz w:val="22"/>
          <w:szCs w:val="22"/>
        </w:rPr>
        <w:t>93.6</w:t>
      </w:r>
      <w:r w:rsidR="00E91CDF" w:rsidRPr="00FF531F">
        <w:rPr>
          <w:sz w:val="22"/>
          <w:szCs w:val="22"/>
        </w:rPr>
        <w:t>%)</w:t>
      </w:r>
      <w:r w:rsidRPr="00FF531F">
        <w:rPr>
          <w:sz w:val="22"/>
          <w:szCs w:val="22"/>
        </w:rPr>
        <w:t xml:space="preserve">. </w:t>
      </w:r>
      <w:r w:rsidR="00875369" w:rsidRPr="00FF531F">
        <w:rPr>
          <w:sz w:val="22"/>
          <w:szCs w:val="22"/>
        </w:rPr>
        <w:t>Numerous factors play into the difference in the fund</w:t>
      </w:r>
      <w:r w:rsidR="008754E2" w:rsidRPr="00FF531F">
        <w:rPr>
          <w:sz w:val="22"/>
          <w:szCs w:val="22"/>
        </w:rPr>
        <w:t>ed ratio between 202</w:t>
      </w:r>
      <w:r w:rsidR="00922307" w:rsidRPr="00FF531F">
        <w:rPr>
          <w:sz w:val="22"/>
          <w:szCs w:val="22"/>
        </w:rPr>
        <w:t>2</w:t>
      </w:r>
      <w:r w:rsidR="008754E2" w:rsidRPr="00FF531F">
        <w:rPr>
          <w:sz w:val="22"/>
          <w:szCs w:val="22"/>
        </w:rPr>
        <w:t xml:space="preserve"> and 202</w:t>
      </w:r>
      <w:r w:rsidR="00922307" w:rsidRPr="00FF531F">
        <w:rPr>
          <w:sz w:val="22"/>
          <w:szCs w:val="22"/>
        </w:rPr>
        <w:t>3</w:t>
      </w:r>
      <w:r w:rsidR="00336F49" w:rsidRPr="00FF531F">
        <w:rPr>
          <w:sz w:val="22"/>
          <w:szCs w:val="22"/>
        </w:rPr>
        <w:t xml:space="preserve">. </w:t>
      </w:r>
      <w:r w:rsidR="0021026B" w:rsidRPr="00FF531F">
        <w:rPr>
          <w:sz w:val="22"/>
          <w:szCs w:val="22"/>
        </w:rPr>
        <w:t xml:space="preserve">Although an actuarial valuation is performed separately for </w:t>
      </w:r>
      <w:r w:rsidR="00794A67" w:rsidRPr="00FF531F">
        <w:rPr>
          <w:sz w:val="22"/>
          <w:szCs w:val="22"/>
        </w:rPr>
        <w:t xml:space="preserve">each PSPRS </w:t>
      </w:r>
      <w:r w:rsidR="0021026B" w:rsidRPr="00FF531F">
        <w:rPr>
          <w:sz w:val="22"/>
          <w:szCs w:val="22"/>
        </w:rPr>
        <w:t xml:space="preserve">employer, the health of the entire PSPRS system has an impact on our contribution rates and funded ratio. </w:t>
      </w:r>
      <w:r w:rsidR="00E91CDF" w:rsidRPr="00FF531F">
        <w:rPr>
          <w:sz w:val="22"/>
          <w:szCs w:val="22"/>
        </w:rPr>
        <w:t>F</w:t>
      </w:r>
      <w:r w:rsidR="00336F49" w:rsidRPr="00FF531F">
        <w:rPr>
          <w:sz w:val="22"/>
          <w:szCs w:val="22"/>
        </w:rPr>
        <w:t xml:space="preserve">actors </w:t>
      </w:r>
      <w:r w:rsidR="00E91CDF" w:rsidRPr="00FF531F">
        <w:rPr>
          <w:sz w:val="22"/>
          <w:szCs w:val="22"/>
        </w:rPr>
        <w:t xml:space="preserve">affecting our funded ratio </w:t>
      </w:r>
      <w:r w:rsidR="00875369" w:rsidRPr="00FF531F">
        <w:rPr>
          <w:sz w:val="22"/>
          <w:szCs w:val="22"/>
        </w:rPr>
        <w:t>include asset gains and losses. Market value of assets f</w:t>
      </w:r>
      <w:r w:rsidR="00113E2E" w:rsidRPr="00FF531F">
        <w:rPr>
          <w:sz w:val="22"/>
          <w:szCs w:val="22"/>
        </w:rPr>
        <w:t xml:space="preserve">or the year ending June 30, </w:t>
      </w:r>
      <w:proofErr w:type="gramStart"/>
      <w:r w:rsidR="00113E2E" w:rsidRPr="00FF531F">
        <w:rPr>
          <w:sz w:val="22"/>
          <w:szCs w:val="22"/>
        </w:rPr>
        <w:t>20</w:t>
      </w:r>
      <w:r w:rsidR="00190A1C" w:rsidRPr="00FF531F">
        <w:rPr>
          <w:sz w:val="22"/>
          <w:szCs w:val="22"/>
        </w:rPr>
        <w:t>2</w:t>
      </w:r>
      <w:r w:rsidR="00922307" w:rsidRPr="00FF531F">
        <w:rPr>
          <w:sz w:val="22"/>
          <w:szCs w:val="22"/>
        </w:rPr>
        <w:t>3</w:t>
      </w:r>
      <w:proofErr w:type="gramEnd"/>
      <w:r w:rsidR="00875369" w:rsidRPr="00FF531F">
        <w:rPr>
          <w:sz w:val="22"/>
          <w:szCs w:val="22"/>
        </w:rPr>
        <w:t xml:space="preserve"> </w:t>
      </w:r>
      <w:r w:rsidR="00190A1C" w:rsidRPr="00FF531F">
        <w:rPr>
          <w:sz w:val="22"/>
          <w:szCs w:val="22"/>
        </w:rPr>
        <w:t>nearly met the 2021 assumed earnings rate for Tier 1 and 2 and exceeded the 202</w:t>
      </w:r>
      <w:r w:rsidR="00922307" w:rsidRPr="00FF531F">
        <w:rPr>
          <w:sz w:val="22"/>
          <w:szCs w:val="22"/>
        </w:rPr>
        <w:t>2</w:t>
      </w:r>
      <w:r w:rsidR="00190A1C" w:rsidRPr="00FF531F">
        <w:rPr>
          <w:sz w:val="22"/>
          <w:szCs w:val="22"/>
        </w:rPr>
        <w:t xml:space="preserve"> assumed earnings rate for Tier</w:t>
      </w:r>
      <w:r w:rsidR="00922307" w:rsidRPr="00FF531F">
        <w:rPr>
          <w:sz w:val="22"/>
          <w:szCs w:val="22"/>
        </w:rPr>
        <w:t xml:space="preserve"> 3 of 7%</w:t>
      </w:r>
      <w:r w:rsidR="00190A1C" w:rsidRPr="00FF531F">
        <w:rPr>
          <w:sz w:val="22"/>
          <w:szCs w:val="22"/>
        </w:rPr>
        <w:t xml:space="preserve">. </w:t>
      </w:r>
      <w:r w:rsidR="00113E2E" w:rsidRPr="00FF531F">
        <w:rPr>
          <w:sz w:val="22"/>
          <w:szCs w:val="22"/>
        </w:rPr>
        <w:t xml:space="preserve"> </w:t>
      </w:r>
      <w:r w:rsidR="00875369" w:rsidRPr="00FF531F">
        <w:rPr>
          <w:sz w:val="22"/>
          <w:szCs w:val="22"/>
        </w:rPr>
        <w:t xml:space="preserve"> </w:t>
      </w:r>
      <w:r w:rsidR="00336F49" w:rsidRPr="00FF531F">
        <w:rPr>
          <w:sz w:val="22"/>
          <w:szCs w:val="22"/>
        </w:rPr>
        <w:t>Other factors</w:t>
      </w:r>
      <w:r w:rsidR="00794A67" w:rsidRPr="00FF531F">
        <w:rPr>
          <w:sz w:val="22"/>
          <w:szCs w:val="22"/>
        </w:rPr>
        <w:t>,</w:t>
      </w:r>
      <w:r w:rsidR="00336F49" w:rsidRPr="00FF531F">
        <w:rPr>
          <w:sz w:val="22"/>
          <w:szCs w:val="22"/>
        </w:rPr>
        <w:t xml:space="preserve"> such as</w:t>
      </w:r>
      <w:r w:rsidR="00794A67" w:rsidRPr="00FF531F">
        <w:rPr>
          <w:sz w:val="22"/>
          <w:szCs w:val="22"/>
        </w:rPr>
        <w:t xml:space="preserve"> an</w:t>
      </w:r>
      <w:r w:rsidR="00336F49" w:rsidRPr="00FF531F">
        <w:rPr>
          <w:sz w:val="22"/>
          <w:szCs w:val="22"/>
        </w:rPr>
        <w:t xml:space="preserve"> </w:t>
      </w:r>
      <w:r w:rsidR="00794A67" w:rsidRPr="00FF531F">
        <w:rPr>
          <w:sz w:val="22"/>
          <w:szCs w:val="22"/>
        </w:rPr>
        <w:t xml:space="preserve">increase or decrease in membership size, total </w:t>
      </w:r>
      <w:r w:rsidR="00E91CDF" w:rsidRPr="00FF531F">
        <w:rPr>
          <w:sz w:val="22"/>
          <w:szCs w:val="22"/>
        </w:rPr>
        <w:t>dollars contributed</w:t>
      </w:r>
      <w:r w:rsidR="00794A67" w:rsidRPr="00FF531F">
        <w:rPr>
          <w:sz w:val="22"/>
          <w:szCs w:val="22"/>
        </w:rPr>
        <w:t xml:space="preserve">, and number of retirees in the system, </w:t>
      </w:r>
      <w:r w:rsidR="00E91CDF" w:rsidRPr="00FF531F">
        <w:rPr>
          <w:sz w:val="22"/>
          <w:szCs w:val="22"/>
        </w:rPr>
        <w:t xml:space="preserve">also </w:t>
      </w:r>
      <w:r w:rsidR="00794A67" w:rsidRPr="00FF531F">
        <w:rPr>
          <w:sz w:val="22"/>
          <w:szCs w:val="22"/>
        </w:rPr>
        <w:t xml:space="preserve">play into our funded ratio. </w:t>
      </w:r>
    </w:p>
    <w:p w14:paraId="6E00CF39" w14:textId="77777777" w:rsidR="00E91CDF" w:rsidRPr="00FF531F" w:rsidRDefault="00E91CDF" w:rsidP="00A1422F">
      <w:pPr>
        <w:pStyle w:val="NoSpacing"/>
        <w:jc w:val="both"/>
        <w:rPr>
          <w:sz w:val="22"/>
          <w:szCs w:val="22"/>
        </w:rPr>
      </w:pPr>
    </w:p>
    <w:p w14:paraId="301AA0C3" w14:textId="77777777" w:rsidR="0062307A" w:rsidRPr="00FF531F" w:rsidRDefault="0062307A" w:rsidP="00A1422F">
      <w:pPr>
        <w:pStyle w:val="NoSpacing"/>
        <w:jc w:val="both"/>
        <w:rPr>
          <w:sz w:val="22"/>
          <w:szCs w:val="22"/>
        </w:rPr>
      </w:pPr>
      <w:r w:rsidRPr="00FF531F">
        <w:rPr>
          <w:sz w:val="22"/>
          <w:szCs w:val="22"/>
        </w:rPr>
        <w:t xml:space="preserve">The City believes implementation of this Policy will raise the current funded </w:t>
      </w:r>
      <w:r w:rsidR="00283C0C" w:rsidRPr="00FF531F">
        <w:rPr>
          <w:sz w:val="22"/>
          <w:szCs w:val="22"/>
        </w:rPr>
        <w:t>r</w:t>
      </w:r>
      <w:r w:rsidR="00090DA0" w:rsidRPr="00FF531F">
        <w:rPr>
          <w:sz w:val="22"/>
          <w:szCs w:val="22"/>
        </w:rPr>
        <w:t>atio</w:t>
      </w:r>
      <w:r w:rsidRPr="00FF531F">
        <w:rPr>
          <w:sz w:val="22"/>
          <w:szCs w:val="22"/>
        </w:rPr>
        <w:t xml:space="preserve"> to the targeted funded </w:t>
      </w:r>
      <w:r w:rsidR="00283C0C" w:rsidRPr="00FF531F">
        <w:rPr>
          <w:sz w:val="22"/>
          <w:szCs w:val="22"/>
        </w:rPr>
        <w:t>r</w:t>
      </w:r>
      <w:r w:rsidR="00090DA0" w:rsidRPr="00FF531F">
        <w:rPr>
          <w:sz w:val="22"/>
          <w:szCs w:val="22"/>
        </w:rPr>
        <w:t>atio</w:t>
      </w:r>
      <w:r w:rsidRPr="00FF531F">
        <w:rPr>
          <w:sz w:val="22"/>
          <w:szCs w:val="22"/>
        </w:rPr>
        <w:t xml:space="preserve"> by </w:t>
      </w:r>
      <w:r w:rsidR="00A1422F" w:rsidRPr="00FF531F">
        <w:rPr>
          <w:sz w:val="22"/>
          <w:szCs w:val="22"/>
        </w:rPr>
        <w:t>July 1</w:t>
      </w:r>
      <w:r w:rsidR="00E91CDF" w:rsidRPr="00FF531F">
        <w:rPr>
          <w:sz w:val="22"/>
          <w:szCs w:val="22"/>
        </w:rPr>
        <w:t>,</w:t>
      </w:r>
      <w:r w:rsidR="00A1422F" w:rsidRPr="00FF531F">
        <w:rPr>
          <w:sz w:val="22"/>
          <w:szCs w:val="22"/>
        </w:rPr>
        <w:t xml:space="preserve"> 2036</w:t>
      </w:r>
      <w:r w:rsidRPr="00FF531F">
        <w:rPr>
          <w:sz w:val="22"/>
          <w:szCs w:val="22"/>
        </w:rPr>
        <w:t xml:space="preserve">. </w:t>
      </w:r>
    </w:p>
    <w:p w14:paraId="089637C7" w14:textId="77777777" w:rsidR="0062307A" w:rsidRPr="00FF531F" w:rsidRDefault="0062307A" w:rsidP="00A1422F">
      <w:pPr>
        <w:pStyle w:val="NoSpacing"/>
        <w:jc w:val="both"/>
        <w:rPr>
          <w:sz w:val="22"/>
          <w:szCs w:val="22"/>
        </w:rPr>
      </w:pPr>
    </w:p>
    <w:p w14:paraId="05E68618" w14:textId="77777777" w:rsidR="0062307A" w:rsidRPr="00FF531F" w:rsidRDefault="0062307A" w:rsidP="00A1422F">
      <w:pPr>
        <w:pStyle w:val="NoSpacing"/>
        <w:jc w:val="both"/>
        <w:rPr>
          <w:sz w:val="22"/>
          <w:szCs w:val="22"/>
        </w:rPr>
      </w:pPr>
      <w:r w:rsidRPr="00FF531F">
        <w:rPr>
          <w:sz w:val="22"/>
          <w:szCs w:val="22"/>
        </w:rPr>
        <w:t xml:space="preserve">Each year, as part of the budget adoption process, the City will adopt a resolution to formally accept the current City share of the assets and liabilities under PSPRS as identified in the most recent Actuarial Valuation Report. </w:t>
      </w:r>
    </w:p>
    <w:sectPr w:rsidR="0062307A" w:rsidRPr="00FF531F" w:rsidSect="0092230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65BE" w14:textId="77777777" w:rsidR="00840459" w:rsidRDefault="00840459" w:rsidP="00C06268">
      <w:pPr>
        <w:spacing w:after="0" w:line="240" w:lineRule="auto"/>
      </w:pPr>
      <w:r>
        <w:separator/>
      </w:r>
    </w:p>
  </w:endnote>
  <w:endnote w:type="continuationSeparator" w:id="0">
    <w:p w14:paraId="38715DFA" w14:textId="77777777" w:rsidR="00840459" w:rsidRDefault="00840459" w:rsidP="00C0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311D" w14:textId="18156B8D" w:rsidR="00FE0FC9" w:rsidRDefault="00FE0FC9" w:rsidP="001F0462">
    <w:pPr>
      <w:pStyle w:val="Footer"/>
      <w:rPr>
        <w:rFonts w:ascii="Times New Roman" w:hAnsi="Times New Roman"/>
        <w:sz w:val="16"/>
      </w:rPr>
    </w:pPr>
  </w:p>
  <w:p w14:paraId="06A415A2" w14:textId="77777777" w:rsidR="00FE0FC9" w:rsidRDefault="00FE0FC9" w:rsidP="00FE0FC9">
    <w:pPr>
      <w:pStyle w:val="Footer"/>
      <w:jc w:val="center"/>
    </w:pPr>
    <w:r>
      <w:fldChar w:fldCharType="begin"/>
    </w:r>
    <w:r>
      <w:instrText xml:space="preserve"> PAGE  \* MERGEFORMAT </w:instrText>
    </w:r>
    <w:r>
      <w:fldChar w:fldCharType="separate"/>
    </w:r>
    <w:r w:rsidR="001C6A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EE0E" w14:textId="77777777" w:rsidR="00840459" w:rsidRDefault="00840459" w:rsidP="00C06268">
      <w:pPr>
        <w:spacing w:after="0" w:line="240" w:lineRule="auto"/>
      </w:pPr>
      <w:r>
        <w:separator/>
      </w:r>
    </w:p>
  </w:footnote>
  <w:footnote w:type="continuationSeparator" w:id="0">
    <w:p w14:paraId="50D0E5D8" w14:textId="77777777" w:rsidR="00840459" w:rsidRDefault="00840459" w:rsidP="00C0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32D3" w14:textId="77777777" w:rsidR="00C06268" w:rsidRDefault="00C06268" w:rsidP="00C06268">
    <w:pPr>
      <w:pStyle w:val="Header"/>
      <w:jc w:val="center"/>
    </w:pPr>
    <w:r>
      <w:t>Public Safety Personnel Retirement System</w:t>
    </w:r>
  </w:p>
  <w:p w14:paraId="423FA198" w14:textId="08A619BD" w:rsidR="00C06268" w:rsidRDefault="00C06268" w:rsidP="00C06268">
    <w:pPr>
      <w:pStyle w:val="Header"/>
      <w:jc w:val="center"/>
    </w:pPr>
    <w:r>
      <w:t>Pension Funding Policy</w:t>
    </w:r>
    <w:r w:rsidR="001C6A5E">
      <w:t xml:space="preserve"> – FY2</w:t>
    </w:r>
    <w:r w:rsidR="0092230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B0A"/>
    <w:multiLevelType w:val="hybridMultilevel"/>
    <w:tmpl w:val="3D5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07DD0"/>
    <w:multiLevelType w:val="hybridMultilevel"/>
    <w:tmpl w:val="D40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7493">
    <w:abstractNumId w:val="0"/>
  </w:num>
  <w:num w:numId="2" w16cid:durableId="16358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26"/>
    <w:rsid w:val="000033FE"/>
    <w:rsid w:val="00072B9B"/>
    <w:rsid w:val="00090DA0"/>
    <w:rsid w:val="000C774E"/>
    <w:rsid w:val="000E0252"/>
    <w:rsid w:val="00113D12"/>
    <w:rsid w:val="00113E2E"/>
    <w:rsid w:val="001512A2"/>
    <w:rsid w:val="00190A1C"/>
    <w:rsid w:val="00196CED"/>
    <w:rsid w:val="001C6A5E"/>
    <w:rsid w:val="001D1DDB"/>
    <w:rsid w:val="001E3332"/>
    <w:rsid w:val="001F0462"/>
    <w:rsid w:val="001F0D7C"/>
    <w:rsid w:val="001F4917"/>
    <w:rsid w:val="0021026B"/>
    <w:rsid w:val="0025634C"/>
    <w:rsid w:val="00283C0C"/>
    <w:rsid w:val="002C3C86"/>
    <w:rsid w:val="002E369A"/>
    <w:rsid w:val="00336F49"/>
    <w:rsid w:val="00367FBA"/>
    <w:rsid w:val="00383C01"/>
    <w:rsid w:val="0039661D"/>
    <w:rsid w:val="003C12D3"/>
    <w:rsid w:val="003E4158"/>
    <w:rsid w:val="00405184"/>
    <w:rsid w:val="00425D75"/>
    <w:rsid w:val="00450DA3"/>
    <w:rsid w:val="00575888"/>
    <w:rsid w:val="005F5F8B"/>
    <w:rsid w:val="006221B1"/>
    <w:rsid w:val="0062307A"/>
    <w:rsid w:val="00737D26"/>
    <w:rsid w:val="00794A67"/>
    <w:rsid w:val="007F6F64"/>
    <w:rsid w:val="00840459"/>
    <w:rsid w:val="00875369"/>
    <w:rsid w:val="008754E2"/>
    <w:rsid w:val="008D6E7F"/>
    <w:rsid w:val="00922307"/>
    <w:rsid w:val="00940C27"/>
    <w:rsid w:val="009941D7"/>
    <w:rsid w:val="00997EC1"/>
    <w:rsid w:val="009C0035"/>
    <w:rsid w:val="00A10264"/>
    <w:rsid w:val="00A1422F"/>
    <w:rsid w:val="00A2566C"/>
    <w:rsid w:val="00B24A6D"/>
    <w:rsid w:val="00C06268"/>
    <w:rsid w:val="00C3359A"/>
    <w:rsid w:val="00C753BD"/>
    <w:rsid w:val="00CB0DF5"/>
    <w:rsid w:val="00CB37E6"/>
    <w:rsid w:val="00CE7C71"/>
    <w:rsid w:val="00CF51CB"/>
    <w:rsid w:val="00D61D65"/>
    <w:rsid w:val="00DA0CD3"/>
    <w:rsid w:val="00E26CE9"/>
    <w:rsid w:val="00E372FD"/>
    <w:rsid w:val="00E53AA5"/>
    <w:rsid w:val="00E65A64"/>
    <w:rsid w:val="00E91CDF"/>
    <w:rsid w:val="00ED5F6D"/>
    <w:rsid w:val="00F5113C"/>
    <w:rsid w:val="00F77F11"/>
    <w:rsid w:val="00F979B8"/>
    <w:rsid w:val="00FC6899"/>
    <w:rsid w:val="00FE0FC9"/>
    <w:rsid w:val="00FE5A5B"/>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9148BD"/>
  <w15:docId w15:val="{CA86C7AF-B0E8-42FD-99C5-216CB63A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D26"/>
    <w:pPr>
      <w:spacing w:after="0" w:line="240" w:lineRule="auto"/>
    </w:pPr>
  </w:style>
  <w:style w:type="paragraph" w:styleId="Header">
    <w:name w:val="header"/>
    <w:basedOn w:val="Normal"/>
    <w:link w:val="HeaderChar"/>
    <w:uiPriority w:val="99"/>
    <w:unhideWhenUsed/>
    <w:rsid w:val="00C0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268"/>
  </w:style>
  <w:style w:type="paragraph" w:styleId="Footer">
    <w:name w:val="footer"/>
    <w:basedOn w:val="Normal"/>
    <w:link w:val="FooterChar"/>
    <w:uiPriority w:val="99"/>
    <w:unhideWhenUsed/>
    <w:rsid w:val="00C0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268"/>
  </w:style>
  <w:style w:type="paragraph" w:styleId="BalloonText">
    <w:name w:val="Balloon Text"/>
    <w:basedOn w:val="Normal"/>
    <w:link w:val="BalloonTextChar"/>
    <w:uiPriority w:val="99"/>
    <w:semiHidden/>
    <w:unhideWhenUsed/>
    <w:rsid w:val="003E4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58"/>
    <w:rPr>
      <w:rFonts w:ascii="Segoe UI" w:hAnsi="Segoe UI" w:cs="Segoe UI"/>
      <w:sz w:val="18"/>
      <w:szCs w:val="18"/>
    </w:rPr>
  </w:style>
  <w:style w:type="paragraph" w:styleId="Revision">
    <w:name w:val="Revision"/>
    <w:hidden/>
    <w:uiPriority w:val="99"/>
    <w:semiHidden/>
    <w:rsid w:val="00FC6899"/>
    <w:pPr>
      <w:spacing w:after="0" w:line="240" w:lineRule="auto"/>
    </w:pPr>
  </w:style>
  <w:style w:type="character" w:styleId="CommentReference">
    <w:name w:val="annotation reference"/>
    <w:basedOn w:val="DefaultParagraphFont"/>
    <w:uiPriority w:val="99"/>
    <w:semiHidden/>
    <w:unhideWhenUsed/>
    <w:rsid w:val="000C774E"/>
    <w:rPr>
      <w:sz w:val="16"/>
      <w:szCs w:val="16"/>
    </w:rPr>
  </w:style>
  <w:style w:type="paragraph" w:styleId="CommentText">
    <w:name w:val="annotation text"/>
    <w:basedOn w:val="Normal"/>
    <w:link w:val="CommentTextChar"/>
    <w:uiPriority w:val="99"/>
    <w:unhideWhenUsed/>
    <w:rsid w:val="000C774E"/>
    <w:pPr>
      <w:spacing w:line="240" w:lineRule="auto"/>
    </w:pPr>
    <w:rPr>
      <w:sz w:val="20"/>
    </w:rPr>
  </w:style>
  <w:style w:type="character" w:customStyle="1" w:styleId="CommentTextChar">
    <w:name w:val="Comment Text Char"/>
    <w:basedOn w:val="DefaultParagraphFont"/>
    <w:link w:val="CommentText"/>
    <w:uiPriority w:val="99"/>
    <w:rsid w:val="000C774E"/>
    <w:rPr>
      <w:sz w:val="20"/>
    </w:rPr>
  </w:style>
  <w:style w:type="paragraph" w:styleId="CommentSubject">
    <w:name w:val="annotation subject"/>
    <w:basedOn w:val="CommentText"/>
    <w:next w:val="CommentText"/>
    <w:link w:val="CommentSubjectChar"/>
    <w:uiPriority w:val="99"/>
    <w:semiHidden/>
    <w:unhideWhenUsed/>
    <w:rsid w:val="000C774E"/>
    <w:rPr>
      <w:b/>
      <w:bCs/>
    </w:rPr>
  </w:style>
  <w:style w:type="character" w:customStyle="1" w:styleId="CommentSubjectChar">
    <w:name w:val="Comment Subject Char"/>
    <w:basedOn w:val="CommentTextChar"/>
    <w:link w:val="CommentSubject"/>
    <w:uiPriority w:val="99"/>
    <w:semiHidden/>
    <w:rsid w:val="000C774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99170-2C29-48FF-9BEC-F7EC2F5D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Love</dc:creator>
  <cp:lastModifiedBy>Angela Guilmenot</cp:lastModifiedBy>
  <cp:revision>3</cp:revision>
  <cp:lastPrinted>2024-05-14T17:59:00Z</cp:lastPrinted>
  <dcterms:created xsi:type="dcterms:W3CDTF">2024-05-14T17:44:00Z</dcterms:created>
  <dcterms:modified xsi:type="dcterms:W3CDTF">2024-05-14T18:02:00Z</dcterms:modified>
</cp:coreProperties>
</file>